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66</w:t>
      </w:r>
    </w:p>
    <w:p>
      <w:r>
        <w:t>Bundesgericht (BGE), 1966-02-18, DE</w:t>
      </w:r>
    </w:p>
    <w:p>
      <w:r>
        <w:rPr>
          <w:b/>
        </w:rPr>
        <w:t xml:space="preserve">Quelle: </w:t>
      </w:r>
      <w:r>
        <w:t>https://mcp.opencaselaw.ch/entscheid/bge_92 I 66</w:t>
      </w:r>
    </w:p>
    <w:p>
      <w:r>
        <w:t>FR: ATF 92 I 66</w:t>
      </w:r>
    </w:p>
    <w:p>
      <w:r>
        <w:t>IT: DTF 92 I 66</w:t>
      </w:r>
    </w:p>
    <w:p>
      <w:pPr>
        <w:pStyle w:val="Heading2"/>
      </w:pPr>
      <w:r>
        <w:t>Regeste</w:t>
      </w:r>
    </w:p>
    <w:p>
      <w:r>
        <w:t>Regeste Verwaltungsgerichtsbeschwerde im Rahmen des Gewässerschutzes, Art. 14 GSchG. 1. Sie ist zulässig gegen Zwischenentscheide, durch die eine Frage vorgängig der materiellen Beurteilung behandelt und darüber endgültig entschieden wird. 2. Sie ist auch zulässig, wenn anstatt des anwendbaren GSchG kantonales Recht angewendet wird.</w:t>
      </w:r>
    </w:p>
    <w:p>
      <w:pPr>
        <w:pStyle w:val="Heading2"/>
      </w:pPr>
      <w:r>
        <w:t>Erwägungen</w:t>
      </w:r>
    </w:p>
    <w:p>
      <w:r>
        <w:rPr>
          <w:b/>
        </w:rPr>
        <w:t>E. 1</w:t>
      </w:r>
    </w:p>
    <w:p>
      <w:r>
        <w:t>Der Staat Bern beantragt in erster Linie, es sei auf die Verwaltungsgerichtsbeschwerde nicht einzutreten, weil diese gegenüber Zwischenentscheiden nicht zulässig sei. Der Gerichtspräsident von Laupen beschränkte - gestützt auf Art 196 ZPO - das Verfahren zunächst auf die Fragen der sachlichen Zuständigkeit und der Passivlegitimation. Hätte er die erstere verneint oder wäre es bei einer Verneinung der Passivlegitimation geblieben, so hätte hierin ein Endurteil gelegen. Nachdem aber der Appellationshof sowohl die Zuständigkeit als auch die Passivlegitimation bejaht und die Sache zu materieller Beurteilung an die Vorinstanz zurückgewiesen hat, liegt lediglich ein Zwischenentscheid der letzten kantonalen Instanz vor. Während gemäss Art. 87 OG die staatsrechtliche Beschwerde wegen Verletzung von Art. 4 BV erst gegen letztinstanzliche Endentscheide zulässig ist, gegen letztinstanzliche Zwischenentscheide nur, wenn sie für den Betroffenen einen nicht wiedergutzumachenden Nachteil zur Folge haben, besteht mit Bezug auf die Verwaltungsgerichtsbeschwerde keine solche Bestimmung. Der Staat Bern beruft sich für seine Auffassung auf BIRCHMEIER, Bundesrechtspflege, S. 418, wonach Zwischenverfügungen der Verwaltungsgerichtsbeschwerde nicht unterliegen. Diese Stelle und die darin zitierten Urteile des Bundesgerichts beziehen sich jedoch auf blosse Verfügungen (Beanstandung von Eintragungsgesuchen für Handelsmarken, Fristansetzungen), BGE 92 I 66 S. 71 nicht aber auf Entscheide, durch welche eine Frage vorgängig der materiellen Beurteilung behandelt und darüber endgültig entschieden wird. Gegen solche Vor- bzw. Zwischenentscheide ist - auch im Falle der Rückweisung an eine untere Instanz - die Verwaltungsgerichtsbeschwerde zulässig.</w:t>
      </w:r>
    </w:p>
    <w:p>
      <w:r>
        <w:rPr>
          <w:b/>
        </w:rPr>
        <w:t>E. 2</w:t>
      </w:r>
    </w:p>
    <w:p>
      <w:r>
        <w:t>In zweiter Linie begründet der Staat Bern den Antrag auf Nichteintreten damit, dass die Verwaltungsgerichtsbeschwerde nur gegen Verwaltungsentscheide zulässig sei und das Urteil des Appellationshofes - im Gegensatz zu dem Beschlusse des Regierungsrates vom 25. Februar 1964 über die Errichtung der Schutzzone, der nicht angefochten wurde - kein Verwaltungsentscheid sei. Indessen kommt es nicht darauf an, ob der Entscheid von einer Verwaltungsbehörde oder von einem Gericht erlassen wurde; denn auch Gerichte können Verwaltungsentscheide fällen, wie der Staat Bern selbst feststellt. Er macht jedoch geltend, der Appellationshof habe in dem angefochtenen Urteil einzig eine Frage aus dem Expropriationsrecht entschieden, wofür er nach dem kantonalen Recht zuständig sei, aber keinen Verwaltungsentscheid auf dem Gebiete des Gewässerschutzes getroffen. Dieses Vorbringen fällt zusammen mit demjenigen der Beschwerdegegner Bürki und Mitbeteiligte, die den Antrag auf Nichteintreten damit begründen, der angefochtene Entscheid sei nicht in Anwendung des GSchG ergangen, was Voraussetzung der Verwaltungsgerichtsbeschwerde wäre. Art. 14 GSchG erklärt sie als zulässig gegen Entscheide der letzten kantonalen Instanz, "die in Anwendung dieses Gesetzes ergehen". Der Beschluss des Regierungsrates vom 25. Februar 1964 über die Errichtung der Schutzzone stützte sich einerseits auf Art. 2 Abs. 1 und Art. 6 GSchG und anderseits auf Art. 115 des kantonalen WNG. Gegen ihn hätte somit den heutigen Klägern und Beschwerdegegnern die Verwaltungsgerichtsbeschwerde offen gestanden. Sie haben diese jedoch nicht ergriffen - offenbar weil sie nicht die Schutzzone als solche anfechten, sondern nur eine Entschädigung für die ihnen damit auferlegten Eigentumsbeschränkungen verlangen wollten, wofür ihnen das GSchG keine Handhabe bot, während ihnen nach ihrer Auffassung das kantonale Recht die Klage auf Entschädigung für materielle Enteignung zur Verfügung stellte. Sie leiteten deshalb die Klage gegen die Wander AG ein, die sie auf Art. 115 WNG und das kantonale Enteignungsgesetz gründeten. Zwar erwähnte Art. 115 WNG in der damals noch gültigen ursprünglichen BGE 92 I 66 S. 72 Fassung keine Entschädigungpflicht; erst die Revision vom 6. Dezember 1964 fügte den Absatz 4 ein: "Auf die Entschädigungen finden die Bestimmungen des Bauvorschriftengesetzes sinngemäss Anwendung". Auf diese am 1. Januar 1965 in Kraft getretene Bestimmung hat der Appellationshof in seinem Urteil vom 15. Juli 1965 entscheidend abgestellt, ferner kraft der Verweisung auf Art. 26 des Gesetzes über die Bauvorschriften und auf § 26 des kantonalen Enteignungsgesetzes. Es trifft also zu, dass dieses Urteil ausschliesslich in Anwendung kantonalen Rechtes ergangen ist. Die Beschwerdeführerin macht jedoch geltend, der Appellationshof hätte auch Art. 2-6 GSchG anwenden, nämlich berücksichtigen müssen, dass die Behörden die mit der Schutzzone verfügten Massnahmen zum Schutze des Grundwassers auch ohne ihr Gesuch von Amtes wegen und ohne Entschädigung hätten anordnen müssen; indem er sie von der Entschädigung abhängig mache, durchkreuze er den Gewässerschutz und verletze damit jene Bestimmungen des GSchG. In der Tat kann ein Gesetz nicht nur durch unrichtige Anwendung verletzt werden, sondern auch dadurch, dass es nicht angewendet wird, obwohl es angewendet werden sollte - namentlich dann, wenn statt seiner ein anderes, ihm zuwiderlaufendes Recht zur Anwendung gelangt. So kann insbesondere eine Verletzung von Bundesrecht daran liegen, dass anstatt des anwendbaren eidgenössischen Rechtes kantonales Recht angewendet wird (vgl. dazu BIRCHMEIER, a.a.O., S. 87). Es liegt auf der Hand, dass auch eine solche Verletzung des GSchG durch Verwaltungsgerichtsbeschwerde muss angefochten werden können. Sein Art. 14, wonach sie gegen "in Anwendung dieses Gesetzes" ergangene Entscheide offen steht, ist daher nicht in dem engen buchstäblichen Sinne auszulegen, dass sich der betreffende Entscheid ausdrücklich darauf stützen muss, sondern umfasst sinngemäss auch Entscheide, in denen es hätte angewendet werden sollen, aber nicht angewendet worden ist. Da die Beschwerdeführerin gerade das geltend macht, ist auf die Verwaltungsgerichtsbeschwerde einzutreten. Ob die behauptete Verletzung wirklich vorliegt, ist eine Frage nicht des Eintretens, sondern der materiellen Beurteilung.</w:t>
      </w:r>
    </w:p>
    <w:p>
      <w:r>
        <w:rPr>
          <w:b/>
        </w:rPr>
        <w:t>E. 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